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4B" w:rsidRPr="000B6B00" w:rsidRDefault="00B1674B" w:rsidP="00B167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B00">
        <w:rPr>
          <w:rFonts w:ascii="Times New Roman" w:eastAsia="Calibri" w:hAnsi="Times New Roman" w:cs="Times New Roman"/>
          <w:sz w:val="24"/>
          <w:szCs w:val="24"/>
        </w:rPr>
        <w:t>КГУ «</w:t>
      </w:r>
      <w:proofErr w:type="spellStart"/>
      <w:r w:rsidRPr="000B6B00">
        <w:rPr>
          <w:rFonts w:ascii="Times New Roman" w:eastAsia="Calibri" w:hAnsi="Times New Roman" w:cs="Times New Roman"/>
          <w:sz w:val="24"/>
          <w:szCs w:val="24"/>
        </w:rPr>
        <w:t>Свободненская</w:t>
      </w:r>
      <w:proofErr w:type="spellEnd"/>
      <w:r w:rsidRPr="000B6B00">
        <w:rPr>
          <w:rFonts w:ascii="Times New Roman" w:eastAsia="Calibri" w:hAnsi="Times New Roman" w:cs="Times New Roman"/>
          <w:sz w:val="24"/>
          <w:szCs w:val="24"/>
        </w:rPr>
        <w:t xml:space="preserve"> СШ</w:t>
      </w:r>
      <w:r w:rsidR="00BB1C6B" w:rsidRPr="000B6B00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 </w:t>
      </w:r>
      <w:proofErr w:type="spellStart"/>
      <w:r w:rsidR="00BB1C6B" w:rsidRPr="000B6B00">
        <w:rPr>
          <w:rFonts w:ascii="Times New Roman" w:eastAsia="Calibri" w:hAnsi="Times New Roman" w:cs="Times New Roman"/>
          <w:sz w:val="24"/>
          <w:szCs w:val="24"/>
        </w:rPr>
        <w:t>Есильского</w:t>
      </w:r>
      <w:proofErr w:type="spellEnd"/>
      <w:r w:rsidR="00BB1C6B" w:rsidRPr="000B6B00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="00BB1C6B" w:rsidRPr="000B6B00"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r w:rsidR="00BB1C6B" w:rsidRPr="000B6B00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0B6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- ОРИЕНТИРОВАННЫЙ АНАЛИЗ</w:t>
      </w:r>
    </w:p>
    <w:p w:rsidR="00BB1C6B" w:rsidRPr="000B6B00" w:rsidRDefault="00BB1C6B" w:rsidP="00BB1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воспитательной работы в </w:t>
      </w:r>
      <w:r w:rsidRPr="000B6B00">
        <w:rPr>
          <w:rFonts w:ascii="Times New Roman" w:eastAsia="Calibri" w:hAnsi="Times New Roman" w:cs="Times New Roman"/>
          <w:sz w:val="24"/>
          <w:szCs w:val="24"/>
        </w:rPr>
        <w:t xml:space="preserve"> КГУ «</w:t>
      </w:r>
      <w:proofErr w:type="spellStart"/>
      <w:r w:rsidRPr="000B6B00">
        <w:rPr>
          <w:rFonts w:ascii="Times New Roman" w:eastAsia="Calibri" w:hAnsi="Times New Roman" w:cs="Times New Roman"/>
          <w:sz w:val="24"/>
          <w:szCs w:val="24"/>
        </w:rPr>
        <w:t>Свободненская</w:t>
      </w:r>
      <w:proofErr w:type="spellEnd"/>
      <w:r w:rsidRPr="000B6B00">
        <w:rPr>
          <w:rFonts w:ascii="Times New Roman" w:eastAsia="Calibri" w:hAnsi="Times New Roman" w:cs="Times New Roman"/>
          <w:sz w:val="24"/>
          <w:szCs w:val="24"/>
        </w:rPr>
        <w:t xml:space="preserve"> СШ»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2018-2019 УЧЕБНЫЙ ГОД</w:t>
      </w:r>
    </w:p>
    <w:p w:rsidR="00B1674B" w:rsidRPr="000B6B00" w:rsidRDefault="00B1674B" w:rsidP="00B16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4046"/>
          <w:sz w:val="24"/>
          <w:szCs w:val="24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 - воспитание всесторонне и гармонично развитой личности на основе общечеловеческих и национальных ценностей в рамках реализации программы «</w:t>
      </w:r>
      <w:proofErr w:type="spellStart"/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Рухани</w:t>
      </w:r>
      <w:proofErr w:type="spellEnd"/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B0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Жаңғыру</w:t>
      </w: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 xml:space="preserve">1) содействовать формированию патриота и гражданина, способного жить в новом </w:t>
      </w:r>
      <w:proofErr w:type="gramStart"/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демократическом обществе</w:t>
      </w:r>
      <w:proofErr w:type="gramEnd"/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2) способствует формированию духовно-нравственных 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3) способствовать ориентации личности на общечеловеческие и  национальные ценности, уважение к родному языку и культуре казахского народа, этносов и этнических групп Республики Казахстан.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4) 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5) 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0B6B00">
        <w:rPr>
          <w:rFonts w:ascii="Times New Roman" w:eastAsia="Times New Roman" w:hAnsi="Times New Roman" w:cs="Times New Roman"/>
          <w:sz w:val="24"/>
          <w:szCs w:val="24"/>
        </w:rPr>
        <w:t>коэволюции</w:t>
      </w:r>
      <w:proofErr w:type="spellEnd"/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руководствоваться ими в повседневной жизни.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6) 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7) 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>8) 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здоровью. </w:t>
      </w:r>
    </w:p>
    <w:p w:rsidR="00B1674B" w:rsidRPr="000B6B00" w:rsidRDefault="00B1674B" w:rsidP="00B16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B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4283" w:type="dxa"/>
        <w:tblLayout w:type="fixed"/>
        <w:tblLook w:val="04A0"/>
      </w:tblPr>
      <w:tblGrid>
        <w:gridCol w:w="648"/>
        <w:gridCol w:w="2295"/>
        <w:gridCol w:w="5812"/>
        <w:gridCol w:w="2835"/>
        <w:gridCol w:w="2693"/>
      </w:tblGrid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Индикаторы  анализа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B1674B" w:rsidRPr="000B6B00" w:rsidTr="00F60427">
        <w:trPr>
          <w:trHeight w:val="1554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воспитательной работы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работы. Заседания 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руководителей. Проведение классных часов, согласно графику, общешкольных  внеклассных мероприятий 1 раз в 2 недели. Дискотеки, деятельность дворового клуба «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Жастар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самоуправления школы, ДОО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улан,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кыран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проектная деятельность, </w:t>
            </w:r>
            <w:r w:rsidR="00BB1C6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волонтёрское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движение. Школьный Парламент.  Работа с родительским активом. 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проведение 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информирование родителей, обучающихся, педагогов;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распределение лидерских ролей (руководителей 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создание команды развития школы,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ПРШ по ВР);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локальных актов школы, положений.</w:t>
            </w:r>
          </w:p>
        </w:tc>
      </w:tr>
      <w:tr w:rsidR="00B1674B" w:rsidRPr="000B6B00" w:rsidTr="00F60427">
        <w:trPr>
          <w:trHeight w:val="1651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воспитательной работе – 0</w:t>
            </w: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Заместителей  директоров по ВР -</w:t>
            </w:r>
            <w:r w:rsidR="00BB1C6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Координаторов детского движения – 1</w:t>
            </w: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– психологов –0</w:t>
            </w: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педагогов – 1</w:t>
            </w:r>
          </w:p>
          <w:p w:rsidR="00B1674B" w:rsidRPr="000B6B00" w:rsidRDefault="00B1674B" w:rsidP="00F6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Вступивших в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улан- </w:t>
            </w:r>
            <w:r w:rsidR="008F0DD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674B" w:rsidRPr="000B6B00" w:rsidRDefault="00BB1C6B" w:rsidP="00F6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кыран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0DD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0F2FB0">
        <w:trPr>
          <w:trHeight w:val="274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сопровождение.</w:t>
            </w:r>
          </w:p>
          <w:p w:rsidR="00B1674B" w:rsidRPr="000B6B00" w:rsidRDefault="00B1674B" w:rsidP="00F6042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заместителей директоров по ВР</w:t>
            </w:r>
          </w:p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иректоре по ВР. Изучение нормативных документов. Организация-планирование воспитательных мероприятий. ВШК. Проведение  воспитательных мероприятий. Подготовка и сдача отчетной документации.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подразделений (родители, обучающиеся, педагоги, участковый инспектор, амбулатория, дом культуры,  социальный педагог, библиотека).</w:t>
            </w:r>
            <w:proofErr w:type="gramEnd"/>
          </w:p>
          <w:p w:rsidR="00B1674B" w:rsidRPr="000B6B00" w:rsidRDefault="00B1674B" w:rsidP="00F6042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методических пособий по ВР;</w:t>
            </w:r>
          </w:p>
          <w:p w:rsidR="00B1674B" w:rsidRPr="000B6B00" w:rsidRDefault="00B1674B" w:rsidP="000F2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 финансирования (канцелярские товары, воспитательные  программы, компьютерная техника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 доплаты  за методическое руководство;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недостаточность времени для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, совершенствования;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на электронное планирование ВР;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обслуживание и ремонт компьютерной техники.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Ходатайство в ГУ «Отдел образования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8F0DD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DD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8F0DDB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177A" w:rsidRPr="000B6B00" w:rsidRDefault="00F3177A" w:rsidP="00F60427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 xml:space="preserve">Всего классных руководителей – 17. </w:t>
            </w:r>
          </w:p>
          <w:p w:rsidR="00B1674B" w:rsidRPr="000B6B00" w:rsidRDefault="00B1674B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>Планирование и контроль. Организация и проведение  классных часов, внеклассных мероприятий. Работа с родителями, самоуправлением класса. Ведение документации класса (личные дела, классные журналы, дневники, отчетность). Учет  внеурочной деятельности, доп</w:t>
            </w:r>
            <w:proofErr w:type="gramStart"/>
            <w:r w:rsidRPr="000B6B00">
              <w:t>.о</w:t>
            </w:r>
            <w:proofErr w:type="gramEnd"/>
            <w:r w:rsidRPr="000B6B00">
              <w:t xml:space="preserve">бразование. работа с социально уязвимыми семьями. Профориентация. Участие в </w:t>
            </w:r>
            <w:proofErr w:type="gramStart"/>
            <w:r w:rsidRPr="000B6B00">
              <w:t>ПОС</w:t>
            </w:r>
            <w:proofErr w:type="gramEnd"/>
            <w:r w:rsidRPr="000B6B00">
              <w:t xml:space="preserve"> классных руководителей. Вовлечение </w:t>
            </w:r>
            <w:proofErr w:type="gramStart"/>
            <w:r w:rsidRPr="000B6B00">
              <w:t>обучающихся</w:t>
            </w:r>
            <w:proofErr w:type="gramEnd"/>
            <w:r w:rsidRPr="000B6B00">
              <w:t xml:space="preserve"> в спортивные секции, кружки.</w:t>
            </w:r>
            <w:r w:rsidR="00F3177A" w:rsidRPr="000B6B00">
              <w:rPr>
                <w:color w:val="212529"/>
                <w:shd w:val="clear" w:color="auto" w:fill="FFFFFF"/>
              </w:rPr>
              <w:t xml:space="preserve">  </w:t>
            </w:r>
            <w:r w:rsidRPr="000B6B00">
              <w:t>Профилактическая работа. Дежурство. Анализ ВР за каждую четверть и состояние успеваемости. Проводят родительские собрания.</w:t>
            </w:r>
          </w:p>
        </w:tc>
        <w:tc>
          <w:tcPr>
            <w:tcW w:w="2835" w:type="dxa"/>
          </w:tcPr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 Положению МОН РК установленного объема о  несоответствии доплаты за классное руководство;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финансирование на приобретение 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класса (личные дела, ученические табеля, книги учета посещений, планов ВР, ТБ, канцелярские товары, подписка познавательных журналов для детей, отсутствие методических пособий, методики по ВР, педагогики);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музыкального оборудования, для проведения школьных мероприятий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компьютерной техники;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в  прохождении курсов классных руководителей.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Ходатайство в ГУ «Отдел образования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674B" w:rsidRPr="000B6B00" w:rsidRDefault="00B1674B" w:rsidP="00F60427">
            <w:pPr>
              <w:shd w:val="clear" w:color="auto" w:fill="FFFFFF"/>
              <w:spacing w:before="37" w:after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74B" w:rsidRPr="000B6B00" w:rsidRDefault="00B1674B" w:rsidP="00F6042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rPr>
          <w:trHeight w:val="278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воспитание казахстанского патриотизма и гражданственност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и, правовое воспитание;</w:t>
            </w:r>
          </w:p>
        </w:tc>
        <w:tc>
          <w:tcPr>
            <w:tcW w:w="5812" w:type="dxa"/>
          </w:tcPr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«Моя Малая Родина», номинация: «История моего села». Базовое направление: «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Өлкетану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подпроект  «Тарих мұрасы». 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 « Культурное наследие  села</w:t>
            </w:r>
            <w:r w:rsidR="00FA6CB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Свободное» </w:t>
            </w:r>
            <w:r w:rsidR="00FA6CB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легенда о матери Зар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«Край мой, навек любимый…» (65 лет со дня рождения села 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», издание книги «Край родной – навек любимый»).  </w:t>
            </w:r>
            <w:proofErr w:type="gramEnd"/>
          </w:p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үган жер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«Почет и уважение», создание с</w:t>
            </w:r>
            <w:r w:rsidR="00FA6CB0" w:rsidRPr="000B6B00">
              <w:rPr>
                <w:rFonts w:ascii="Times New Roman" w:hAnsi="Times New Roman" w:cs="Times New Roman"/>
                <w:sz w:val="24"/>
                <w:szCs w:val="24"/>
              </w:rPr>
              <w:t>тенда «Заслуженные люди труда»</w:t>
            </w:r>
            <w:proofErr w:type="gramStart"/>
            <w:r w:rsidR="00FA6CB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Деятельность  историко – краеведческого музея «Целина».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Казахстанский патриотизм и гражданственность, этническая культура  «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Мәңгіліқ Ел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«Рухани жаңгыру»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патриот своей страны; День языков народов РК; День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ервого Президента отмечает вся страна;  Слава Независимому государству; С заботой о народе: по страницам ежегодного послания Президента РК; Государственные символы – национальная гордость РК; Люблю тебя – мой край родной; Честность и  образованность национальной идеи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Мәнгіліқ  ЕЛ;  Что такое толерантность; 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Конституции  Республики Казахстан; Торжественный прием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в ряды 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Жас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Ұлан, Жас Қыран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».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Знаний; Республиканская акция «Внимание 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ети!»;Месячник по Всеобучу; 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Республиканском Акция «Забота» и «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  <w:lang w:val="kk-KZ"/>
              </w:rPr>
              <w:t>Твори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добро»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Проведение декады «Казахстанское право».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Военно-спортивное занятие «Патриот»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rPr>
          <w:trHeight w:val="75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духовно-нравственное воспитание;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674B" w:rsidRPr="000B6B00" w:rsidRDefault="00B1674B" w:rsidP="00B5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языков народа Казахстана; Нравственность в 21 веке; «Воспитание человека»; «Толерантность в каждом из нас»; Акция «дорога в школу»; «День Знаний», 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славим возраст золотой», « День добра и уважения»; «День Семьи»; 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День Учителя; </w:t>
            </w:r>
            <w:r w:rsidR="006727B5"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уроки  нравственности </w:t>
            </w:r>
            <w:r w:rsidR="00FA6CB0" w:rsidRPr="000B6B00">
              <w:rPr>
                <w:rFonts w:ascii="Times New Roman" w:hAnsi="Times New Roman" w:cs="Times New Roman"/>
                <w:sz w:val="24"/>
                <w:szCs w:val="24"/>
              </w:rPr>
              <w:t>«Душевный человек – какой он?</w:t>
            </w:r>
            <w:proofErr w:type="gramEnd"/>
            <w:r w:rsidR="006727B5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Выставки конкурсы рисунков по темам:  «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  <w:lang w:val="kk-KZ"/>
              </w:rPr>
              <w:t>Мы</w:t>
            </w:r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такие разные».</w:t>
            </w:r>
            <w:proofErr w:type="gramStart"/>
            <w:r w:rsidR="000D26C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End"/>
            <w:r w:rsidRPr="000B6B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"Нам жизнь дана на добрые дела".  </w:t>
            </w:r>
            <w:proofErr w:type="gramStart"/>
            <w:r w:rsidR="006727B5" w:rsidRPr="000B6B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727B5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Дню труда оформлен стенд «Мы Вами гордимся». 9 мая оформлена книжная выставка «Поклонимся </w:t>
            </w:r>
            <w:r w:rsidR="006727B5"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великим тем годам», подготовлена презентация «Нас так мало осталось» о ветеранах, тружениках тыла, проживающих в нашем селе. 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национальное воспитание;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B6B00">
              <w:t xml:space="preserve">Толерантность в каждом из нас»; </w:t>
            </w:r>
            <w:proofErr w:type="gramStart"/>
            <w:r w:rsidRPr="000B6B00">
              <w:t>ознакомительные</w:t>
            </w:r>
            <w:proofErr w:type="gramEnd"/>
          </w:p>
          <w:p w:rsidR="00B1674B" w:rsidRPr="000B6B00" w:rsidRDefault="00B1674B" w:rsidP="00F60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 w:rsidR="00B5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«Мәңгілік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 Традиции народов Казахстана.</w:t>
            </w:r>
            <w:r w:rsidR="00FA6CB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«</w:t>
            </w:r>
            <w:proofErr w:type="spellStart"/>
            <w:r w:rsidR="00FA6CB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Саналы</w:t>
            </w:r>
            <w:proofErr w:type="spellEnd"/>
            <w:r w:rsidR="00FA6CB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="00FA6CB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Азамат</w:t>
            </w:r>
            <w:proofErr w:type="spellEnd"/>
            <w:r w:rsidR="00FA6CB0" w:rsidRPr="000B6B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»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семейное воспитание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посвященная Дню матери; Республиканские  родительские конференции 1- 11 классы; конкурс «Алло, мы ищем таланты!» Новогодние поделки; Осенний бал, Конкурс рисунков «Здравствуй,  Новый год», 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0D26C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</w:t>
            </w:r>
            <w:proofErr w:type="gramEnd"/>
            <w:r w:rsidR="000D26C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 - жүрек үні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>», оформлена книжная выставка для родителей и педагогов «Семья единство помыслов и дел», «Руханилықтың кәусар бұлағы»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», Родительские лектории; акция «Цвети моя школа», «Дары осени»; Консультация для родителей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«Современный подросток: психология, имидж, нравственные ценности»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rPr>
          <w:trHeight w:val="887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трудовое, экономическое и экологическое воспитание;</w:t>
            </w:r>
          </w:p>
        </w:tc>
        <w:tc>
          <w:tcPr>
            <w:tcW w:w="5812" w:type="dxa"/>
          </w:tcPr>
          <w:p w:rsidR="00B1674B" w:rsidRPr="000B6B00" w:rsidRDefault="00B1674B" w:rsidP="000D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класса,  построение фигур «Снежный городок», горка, ледовый каток на реке «Ишим», озеленение школы, ОПТ, ОФГ. </w:t>
            </w:r>
            <w:proofErr w:type="spell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Благоустройство. Кружки:</w:t>
            </w:r>
            <w:r w:rsidRPr="000B6B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«Наша Земля», 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«Юный эколог», «Юный исследователь»,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Путешествие по странам и континентам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«Человек и его здоровье»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</w:t>
            </w:r>
            <w:r w:rsidR="000D26C0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26C0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ткрытый просмотр литературы «</w:t>
            </w:r>
            <w:proofErr w:type="spellStart"/>
            <w:r w:rsidR="000D26C0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Сарыарка</w:t>
            </w:r>
            <w:proofErr w:type="spellEnd"/>
            <w:r w:rsidR="000D26C0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6C0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– третьего тысячелетия.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поликультурное и художественно-эстетическое воспитание;</w:t>
            </w:r>
          </w:p>
        </w:tc>
        <w:tc>
          <w:tcPr>
            <w:tcW w:w="5812" w:type="dxa"/>
          </w:tcPr>
          <w:p w:rsidR="00B1674B" w:rsidRPr="000B6B00" w:rsidRDefault="00B1674B" w:rsidP="00902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Рисунки ко Дню Независимости РК; Новогодние плакаты; конкурс рисунков «Зимняя сказка», «Моя Родина Казахстан»,  «Нет коррупции»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2F81" w:rsidRPr="000B6B0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Уроки-экскурсии « </w:t>
            </w:r>
            <w:proofErr w:type="spellStart"/>
            <w:r w:rsidR="00902F81" w:rsidRPr="000B6B0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Кітапханамен</w:t>
            </w:r>
            <w:proofErr w:type="spellEnd"/>
            <w:r w:rsidR="00902F81" w:rsidRPr="000B6B0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902F81" w:rsidRPr="000B6B0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танысу</w:t>
            </w:r>
            <w:proofErr w:type="spellEnd"/>
            <w:r w:rsidR="00902F81" w:rsidRPr="000B6B0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». Интерактивные викторины.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4A0DB9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 интеллектуальное воспитание, воспитание информационной к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ультуры</w:t>
            </w:r>
          </w:p>
        </w:tc>
        <w:tc>
          <w:tcPr>
            <w:tcW w:w="5812" w:type="dxa"/>
            <w:shd w:val="clear" w:color="auto" w:fill="FFFFFF" w:themeFill="background1"/>
          </w:tcPr>
          <w:p w:rsidR="00B1674B" w:rsidRPr="000B6B00" w:rsidRDefault="00B1674B" w:rsidP="000D26C0">
            <w:pPr>
              <w:shd w:val="clear" w:color="auto" w:fill="EBEBEB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дистанционные олимпиады по предметам, викторины, конкурсы. Памятки «Безопасный интернет», «Половая неприкосновенность», «Правила пользования сотовыми телефонами», «</w:t>
            </w:r>
            <w:r w:rsidR="000D26C0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Ветреная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оспа», «Гепатит», «Профилактика ОРВИ», 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«Не дай 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СПИДу шанс»</w:t>
            </w:r>
            <w:r w:rsidR="000D26C0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«Безопасный автобус».</w:t>
            </w:r>
            <w:r w:rsidR="000D26C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СПИД оформлена тематическая выставка для учащихся 9-11 классов.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 физическое воспитание, здоровый образ жизни.</w:t>
            </w:r>
          </w:p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Учителями физ. культуры ведется согласно утвержденному годовому календарному плану спортивно-оздоровительные мероприятия:</w:t>
            </w:r>
          </w:p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11-ть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внутри школьных спортивных мероприятий по различным видам спорта. 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День здоровья - участвовали 159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– участвовали 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Легкоатлетические забеги «Золотая осень» – участвовали 47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шахматам– 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аствовали 15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Соревнования по  настольному теннису  – участвовали 12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– участвовали 20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-– 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участвовали 33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– участвовали 48 учащихся.</w:t>
            </w:r>
          </w:p>
          <w:p w:rsidR="00B1674B" w:rsidRPr="000B6B00" w:rsidRDefault="00B1674B" w:rsidP="00B1674B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(юноши) – участвовали 36 учащихся.</w:t>
            </w:r>
          </w:p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Были награждены школьными  грамотами за спортивные успехи  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в 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х районных спортивных мероприятиях.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1.Районное первенство по шашкам среди общеобразовательных школ место проведение СШ №3 г. Есиль,  4-е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2.Районное первенство по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ассыкам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общеобразовательных школ место проведение СШ №3 г. Есиль,  5-е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3.Районное первенство по настольному теннису  среди общеобразовательных школ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проведение СШ №3 г. Есиль,  6-е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4.Районное первенство по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тогыз-кумалак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СШ №3, 4-е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5. Районное первенство по легкой атлетике среди общеобразовательных школ место проведение  г. Есиль,  3-е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6. Районное первенство по Президентскому многоборью среди общеобразовательных школ место проведение 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. Свободное, 1-е место.</w:t>
            </w:r>
          </w:p>
          <w:p w:rsidR="00852ABF" w:rsidRPr="000B6B00" w:rsidRDefault="00852ABF" w:rsidP="00852ABF">
            <w:pPr>
              <w:spacing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7. Районное первенство по футболу среди общеобразовательных школ место проведение 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. Свободное,  3-е место.</w:t>
            </w:r>
          </w:p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спортивные мероприятия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852ABF" w:rsidRPr="000B6B00" w:rsidRDefault="000B6B00" w:rsidP="00852ABF">
            <w:pPr>
              <w:spacing w:line="240" w:lineRule="atLeas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.Первенство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 г. Атбасар – 2 место.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Штука М.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ABF" w:rsidRPr="000B6B00" w:rsidRDefault="000B6B00" w:rsidP="00852ABF">
            <w:pPr>
              <w:spacing w:line="240" w:lineRule="atLeas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.Финал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 </w:t>
            </w:r>
            <w:proofErr w:type="gram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Кокшетау – 4 место.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Штука М.,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Бисембаева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ABF" w:rsidRPr="000B6B00" w:rsidRDefault="000B6B00" w:rsidP="00852ABF">
            <w:pPr>
              <w:spacing w:line="240" w:lineRule="atLeas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 Финал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футболу (юноши) </w:t>
            </w:r>
            <w:proofErr w:type="gram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Зеренда</w:t>
            </w:r>
            <w:proofErr w:type="gram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– 2  место.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Бега А.,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Танат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ABF" w:rsidRPr="000B6B00" w:rsidRDefault="000B6B00" w:rsidP="00852ABF">
            <w:pPr>
              <w:spacing w:line="240" w:lineRule="atLeas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. Чемпионат 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легкой атлети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ке г. Есиль – 1 место </w:t>
            </w:r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>Стецков</w:t>
            </w:r>
            <w:proofErr w:type="spellEnd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="00852ABF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1674B" w:rsidRPr="000B6B00" w:rsidRDefault="00B1674B" w:rsidP="000B6B00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участвовали  </w:t>
            </w:r>
            <w:r w:rsidR="000B6B00"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572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внутри школьных спортивных мероприятиях, и </w:t>
            </w:r>
            <w:r w:rsidR="000B6B00" w:rsidRPr="000B6B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в выездных районных  и  областных спортивных мероприятиях.</w:t>
            </w:r>
          </w:p>
          <w:p w:rsidR="000B6B00" w:rsidRPr="000B6B00" w:rsidRDefault="000B6B00" w:rsidP="000B6B00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Президентских тестов участвовали 4,7,9,11 классы всего сдавали Президентские  тесты 46 учеников по различным спортивным дисциплинам учащиеся выполнили следующие нормативы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 -45, национальной готовности -22, президентского уровня -8.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rPr>
          <w:trHeight w:val="845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попечительских советов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Действует юридический Фонд Попечительский совет родителей КГУ «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1674B" w:rsidRPr="000B6B00" w:rsidRDefault="00B1674B" w:rsidP="00F6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Муратхан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Гульде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Попечительского Совета школы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Пийтер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работы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информационных дел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Мирхаджаева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Миркамаловн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ОПТ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–  организация по досугу 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Жармаганбетов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Рахимжанови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 делам несовершеннолетних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Буркова Екатерина Владимировна – организация ЗОЖ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Есжанова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спонсорской помощи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Мусатай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Молдабаевн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социальной поддержки обучающихся</w:t>
            </w:r>
          </w:p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 в распределении поступивших  финансовых средств,  осуществление общественного контроля  за соблюдением  прав обучающихся и расходами благотворительной помощи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вырабатывает рекомендации  по приоритетным  направлениям развития школы;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в деятельности школы (согласовывает расписание занятий, режим дня, планирование школы)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секретарь ПС должен входить в состав ПС и 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быть избранным из состава ПС;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секретарь недолжен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являтся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работником школы (т.к. это общественная организация и выполнение не свойственной дополнительной функции педагога)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требуется упростить типовые правила Попечительского совета в том числе гл.4,2 (родительская общественность не готова участвовать в благотворительной помощи в качестве спонсоров, отсутствуют благотворители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работодатели, спонсоры, благотворители не заинтересованы вкладывать средства в фонд ПС.</w:t>
            </w: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5812" w:type="dxa"/>
          </w:tcPr>
          <w:p w:rsidR="00701D58" w:rsidRPr="000B6B00" w:rsidRDefault="00701D58" w:rsidP="00F6042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1 место в рейтинге школ по футболу</w:t>
            </w:r>
            <w:r w:rsidR="00054235" w:rsidRPr="000B6B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D58" w:rsidRPr="000B6B00" w:rsidRDefault="00701D58" w:rsidP="00F6042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 w:rsidR="00054235" w:rsidRPr="000B6B00">
              <w:rPr>
                <w:rFonts w:ascii="Times New Roman" w:hAnsi="Times New Roman" w:cs="Times New Roman"/>
                <w:sz w:val="24"/>
                <w:szCs w:val="24"/>
              </w:rPr>
              <w:t>области по футболу (юноши);</w:t>
            </w:r>
          </w:p>
          <w:p w:rsidR="00054235" w:rsidRPr="000B6B00" w:rsidRDefault="00054235" w:rsidP="0005423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4место в области по футболу (девушки);</w:t>
            </w:r>
          </w:p>
          <w:p w:rsidR="00054235" w:rsidRPr="000B6B00" w:rsidRDefault="00054235" w:rsidP="0005423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районном первенстве по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президенскому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многоборью;</w:t>
            </w:r>
          </w:p>
          <w:p w:rsidR="00054235" w:rsidRPr="000B6B00" w:rsidRDefault="00054235" w:rsidP="0005423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1 место в рейтинге школ по шахматам;</w:t>
            </w:r>
          </w:p>
          <w:p w:rsidR="00054235" w:rsidRPr="000B6B00" w:rsidRDefault="00054235" w:rsidP="0005423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в рейтинге  по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казак-курес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235" w:rsidRPr="000B6B00" w:rsidRDefault="00054235" w:rsidP="00F6042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5 место в области по легкой атлетике;</w:t>
            </w:r>
          </w:p>
          <w:p w:rsidR="00B1674B" w:rsidRPr="000B6B00" w:rsidRDefault="00701D58" w:rsidP="00701D58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2 место краеведческий конкурс «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1D58" w:rsidRDefault="00701D58" w:rsidP="00701D58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3 место в рейтинге школ научных проектов. </w:t>
            </w:r>
          </w:p>
          <w:p w:rsidR="00934176" w:rsidRDefault="00934176" w:rsidP="00701D58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«Самая артистичная» районный конкурс «Ученик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Мутафиди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4 класс</w:t>
            </w:r>
          </w:p>
          <w:p w:rsidR="00934176" w:rsidRPr="000B6B00" w:rsidRDefault="00934176" w:rsidP="00701D58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классный руководитель» -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Т.Жармаганбетова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Проводятся спортивные кружки в рамках дворового клуба  «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» по различным видам спорта</w:t>
            </w:r>
            <w:proofErr w:type="gram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играм (шахматы, настольный теннис, шашки, </w:t>
            </w:r>
            <w:proofErr w:type="spellStart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тогыз-кумалак</w:t>
            </w:r>
            <w:proofErr w:type="spellEnd"/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), футбол, легкая атлетика, волейбол (дев.), волейбол (юн.), баскетбол (дев.), баскетбол (юн.)</w:t>
            </w: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А.Н., учитель физической культуры</w:t>
            </w:r>
          </w:p>
          <w:p w:rsidR="00B1674B" w:rsidRPr="000B6B00" w:rsidRDefault="00B1674B" w:rsidP="00F60427">
            <w:pPr>
              <w:shd w:val="clear" w:color="auto" w:fill="EBEBEB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 14.00-14.40 Развитие здорового образа жизни и навыков игровой деятельности.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Вторник 17.00-18.00 </w:t>
            </w:r>
            <w:r w:rsidRPr="000B6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интереса к игре в волейбол</w:t>
            </w:r>
          </w:p>
          <w:p w:rsidR="00B1674B" w:rsidRPr="000B6B00" w:rsidRDefault="00B1674B" w:rsidP="00F6042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17.00-18.00 </w:t>
            </w:r>
            <w:r w:rsidRPr="000B6B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Популиризация игры в баскетбол</w:t>
            </w:r>
          </w:p>
          <w:p w:rsidR="00B1674B" w:rsidRPr="000B6B00" w:rsidRDefault="00B1674B" w:rsidP="00F604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четверг 16.00-16.40 Повышение интереса к национальным играм</w:t>
            </w:r>
            <w:proofErr w:type="gramStart"/>
            <w:r w:rsidRPr="000B6B0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Pr="000B6B0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охват обучающихся - </w:t>
            </w:r>
            <w:r w:rsidR="00594504" w:rsidRPr="000B6B0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64</w:t>
            </w:r>
          </w:p>
          <w:p w:rsidR="00B1674B" w:rsidRPr="000B6B00" w:rsidRDefault="00B1674B" w:rsidP="00F60427">
            <w:pPr>
              <w:shd w:val="clear" w:color="auto" w:fill="EBEBE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Дузелбай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учитель химии и биологии (декоративно-прикладное творчество Казахстана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График работы понедельник, вторник</w:t>
            </w:r>
            <w:r w:rsidR="0059450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среда 16.00-17.00, 17.00-18.00</w:t>
            </w:r>
            <w:proofErr w:type="gramEnd"/>
          </w:p>
          <w:p w:rsidR="00B1674B" w:rsidRPr="000B6B00" w:rsidRDefault="00B1674B" w:rsidP="00F6042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Поделки из бросового материала.  Вязание спицами и крючком.  </w:t>
            </w:r>
            <w:proofErr w:type="spellStart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Бисероп</w:t>
            </w:r>
            <w:r w:rsidR="00E514F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летение</w:t>
            </w:r>
            <w:proofErr w:type="spellEnd"/>
            <w:r w:rsidR="00E514F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Снежные фигуры.</w:t>
            </w:r>
            <w:r w:rsidR="00E514F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орнамента из трафарета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14F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E514F4"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Аппликация из круп. 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20.  </w:t>
            </w:r>
          </w:p>
          <w:p w:rsidR="00B1674B" w:rsidRPr="000B6B00" w:rsidRDefault="00594504" w:rsidP="00F604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(хореография)</w:t>
            </w:r>
          </w:p>
          <w:p w:rsidR="00B1674B" w:rsidRPr="000B6B00" w:rsidRDefault="00594504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14.30-15.30, 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74B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1674B" w:rsidRPr="000B6B00" w:rsidRDefault="00B1674B" w:rsidP="0059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движения. Пластика. Постановка авторского мастерства. Упражнения на полу. Русские народные танцы. Казахские народные танцы. Охват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594504"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отсутствие оборудования: музыкального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канцелярского, настольных игр,  спорт оборудования, (брусья, козёл, «маты», канат);</w:t>
            </w:r>
          </w:p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недостаточность кадров (хореограф, музыкальных работников)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заявка в ГУ «Отдел образования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 о потребности 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квалификации (курсы)</w:t>
            </w:r>
          </w:p>
        </w:tc>
      </w:tr>
      <w:tr w:rsidR="00B1674B" w:rsidRPr="000B6B00" w:rsidTr="00F60427">
        <w:trPr>
          <w:trHeight w:val="582"/>
        </w:trPr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Есильский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:rsidR="00B1674B" w:rsidRPr="000B6B00" w:rsidRDefault="00A65D00" w:rsidP="00F6042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B1674B"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Районный конку</w:t>
            </w:r>
            <w:r w:rsidR="004A0DB9"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рс 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«Мельпомена</w:t>
            </w:r>
            <w:r w:rsidR="00B1674B"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- 2 место</w:t>
            </w:r>
          </w:p>
          <w:p w:rsidR="00A65D00" w:rsidRPr="000B6B00" w:rsidRDefault="00A65D00" w:rsidP="00F6042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-Авангардная мода «Твой стиль» -2 м.</w:t>
            </w:r>
          </w:p>
          <w:p w:rsidR="00A65D00" w:rsidRPr="000B6B00" w:rsidRDefault="00A65D00" w:rsidP="00F6042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ЮИД –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м.</w:t>
            </w:r>
          </w:p>
          <w:p w:rsidR="00A65D00" w:rsidRPr="000B6B00" w:rsidRDefault="00A65D00" w:rsidP="00F6042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защиты детей.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EBEBE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EBEBE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3.Социальн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EBEBE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5.Языковое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1674B" w:rsidRPr="000B6B00" w:rsidRDefault="00B1674B" w:rsidP="00F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4B" w:rsidRPr="000B6B00" w:rsidRDefault="00B1674B" w:rsidP="00F6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четверг 14.00 – 18.40 домбра, фортепьяно, баян. Охват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  <w:vMerge w:val="restart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5" w:type="dxa"/>
            <w:vMerge w:val="restart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Школьная база данных достижений </w:t>
            </w: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педагогов и обучающихся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книга учета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F60427">
        <w:tc>
          <w:tcPr>
            <w:tcW w:w="648" w:type="dxa"/>
            <w:vMerge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1674B" w:rsidRPr="000B6B00" w:rsidRDefault="00B1674B" w:rsidP="00F6042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1674B" w:rsidRPr="000B6B00" w:rsidRDefault="00B1674B" w:rsidP="00F6042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1674B" w:rsidRPr="000B6B00" w:rsidRDefault="00B1674B" w:rsidP="00F60427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1674B" w:rsidRPr="000B6B00" w:rsidRDefault="00B1674B" w:rsidP="00F6042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74B" w:rsidRPr="000B6B00" w:rsidTr="00F60427">
        <w:tc>
          <w:tcPr>
            <w:tcW w:w="648" w:type="dxa"/>
            <w:vMerge w:val="restart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Международные   -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74B" w:rsidRPr="000B6B00" w:rsidTr="00F60427">
        <w:tc>
          <w:tcPr>
            <w:tcW w:w="648" w:type="dxa"/>
            <w:vMerge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Республиканские     -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74B" w:rsidRPr="000B6B00" w:rsidTr="00F60427">
        <w:tc>
          <w:tcPr>
            <w:tcW w:w="648" w:type="dxa"/>
            <w:vMerge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Областные   -  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74B" w:rsidRPr="000B6B00" w:rsidTr="00F60427">
        <w:tc>
          <w:tcPr>
            <w:tcW w:w="648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9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Районные - </w:t>
            </w:r>
          </w:p>
        </w:tc>
        <w:tc>
          <w:tcPr>
            <w:tcW w:w="5812" w:type="dxa"/>
          </w:tcPr>
          <w:p w:rsidR="00B1674B" w:rsidRPr="000B6B00" w:rsidRDefault="00B1674B" w:rsidP="00F60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30</w:t>
            </w:r>
          </w:p>
        </w:tc>
        <w:tc>
          <w:tcPr>
            <w:tcW w:w="2835" w:type="dxa"/>
          </w:tcPr>
          <w:p w:rsidR="00B1674B" w:rsidRPr="000B6B00" w:rsidRDefault="00B1674B" w:rsidP="00F60427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1674B" w:rsidRPr="000B6B00" w:rsidRDefault="00B1674B" w:rsidP="00F60427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1674B" w:rsidRPr="000B6B00" w:rsidRDefault="00B1674B" w:rsidP="00B1674B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6B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КГУ  «Свободненская СШ»                                   Меркер Н.А.</w:t>
      </w:r>
    </w:p>
    <w:p w:rsidR="00396B40" w:rsidRPr="000B6B00" w:rsidRDefault="00396B4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96B40" w:rsidRPr="000B6B00" w:rsidSect="00AD3568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272"/>
    <w:multiLevelType w:val="hybridMultilevel"/>
    <w:tmpl w:val="2A3CB658"/>
    <w:lvl w:ilvl="0" w:tplc="AEC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A1E71"/>
    <w:multiLevelType w:val="multilevel"/>
    <w:tmpl w:val="3E0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20146"/>
    <w:multiLevelType w:val="hybridMultilevel"/>
    <w:tmpl w:val="F142FE92"/>
    <w:lvl w:ilvl="0" w:tplc="0C06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4E6848"/>
    <w:multiLevelType w:val="hybridMultilevel"/>
    <w:tmpl w:val="FC0E39BC"/>
    <w:lvl w:ilvl="0" w:tplc="C076E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9272A9"/>
    <w:multiLevelType w:val="hybridMultilevel"/>
    <w:tmpl w:val="B7A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3332"/>
    <w:rsid w:val="00054235"/>
    <w:rsid w:val="000B6B00"/>
    <w:rsid w:val="000D26C0"/>
    <w:rsid w:val="000F2FB0"/>
    <w:rsid w:val="00396B40"/>
    <w:rsid w:val="003D574D"/>
    <w:rsid w:val="004A0DB9"/>
    <w:rsid w:val="00594504"/>
    <w:rsid w:val="006727B5"/>
    <w:rsid w:val="006861C3"/>
    <w:rsid w:val="006D72AC"/>
    <w:rsid w:val="00701D58"/>
    <w:rsid w:val="00852ABF"/>
    <w:rsid w:val="008A0458"/>
    <w:rsid w:val="008F0DDB"/>
    <w:rsid w:val="00902F81"/>
    <w:rsid w:val="00934176"/>
    <w:rsid w:val="00A65D00"/>
    <w:rsid w:val="00AE60B5"/>
    <w:rsid w:val="00B1674B"/>
    <w:rsid w:val="00B56DE3"/>
    <w:rsid w:val="00BB1C6B"/>
    <w:rsid w:val="00BF3332"/>
    <w:rsid w:val="00E514F4"/>
    <w:rsid w:val="00F3177A"/>
    <w:rsid w:val="00F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74B"/>
    <w:pPr>
      <w:ind w:left="720"/>
      <w:contextualSpacing/>
    </w:pPr>
  </w:style>
  <w:style w:type="character" w:styleId="a5">
    <w:name w:val="Strong"/>
    <w:basedOn w:val="a0"/>
    <w:qFormat/>
    <w:rsid w:val="00B1674B"/>
    <w:rPr>
      <w:b/>
      <w:bCs/>
    </w:rPr>
  </w:style>
  <w:style w:type="table" w:styleId="a6">
    <w:name w:val="Table Grid"/>
    <w:basedOn w:val="a1"/>
    <w:uiPriority w:val="59"/>
    <w:rsid w:val="00B1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-pagebreak">
    <w:name w:val="system-pagebreak"/>
    <w:basedOn w:val="a"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74B"/>
    <w:pPr>
      <w:ind w:left="720"/>
      <w:contextualSpacing/>
    </w:pPr>
  </w:style>
  <w:style w:type="character" w:styleId="a5">
    <w:name w:val="Strong"/>
    <w:basedOn w:val="a0"/>
    <w:qFormat/>
    <w:rsid w:val="00B1674B"/>
    <w:rPr>
      <w:b/>
      <w:bCs/>
    </w:rPr>
  </w:style>
  <w:style w:type="table" w:styleId="a6">
    <w:name w:val="Table Grid"/>
    <w:basedOn w:val="a1"/>
    <w:uiPriority w:val="59"/>
    <w:rsid w:val="00B1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-pagebreak">
    <w:name w:val="system-pagebreak"/>
    <w:basedOn w:val="a"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5794-CC91-420C-AF02-04AEAFBC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2019-06-14T16:50:00Z</dcterms:created>
  <dcterms:modified xsi:type="dcterms:W3CDTF">2019-06-14T16:50:00Z</dcterms:modified>
</cp:coreProperties>
</file>